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2F61" w14:textId="77777777" w:rsidR="00601188" w:rsidRDefault="00601188">
      <w:pPr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C163B9" w14:textId="77777777" w:rsidR="00601188" w:rsidRDefault="00601188">
      <w:pPr>
        <w:spacing w:after="0" w:line="240" w:lineRule="auto"/>
        <w:ind w:left="1560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91B6EA0" w14:textId="77777777" w:rsidR="0060118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Comunicato stampa n. 9</w:t>
      </w:r>
    </w:p>
    <w:p w14:paraId="7C6FAF5C" w14:textId="77777777" w:rsidR="00601188" w:rsidRDefault="0060118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14:paraId="63A76850" w14:textId="77777777" w:rsidR="00601188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6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EIMA International, un ponte tra Italia e Turchia</w:t>
      </w:r>
    </w:p>
    <w:p w14:paraId="2859A3B3" w14:textId="77777777" w:rsidR="00601188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60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 </w:t>
      </w:r>
    </w:p>
    <w:p w14:paraId="11E9CD51" w14:textId="77777777" w:rsidR="00601188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Nel 2025 l</w:t>
      </w:r>
      <w:r>
        <w:rPr>
          <w:rFonts w:ascii="Times New Roman" w:hAnsi="Times New Roman"/>
          <w:b/>
          <w:bCs/>
          <w:i/>
          <w:iCs/>
          <w:rtl/>
        </w:rPr>
        <w:t>’</w:t>
      </w:r>
      <w:r>
        <w:rPr>
          <w:rFonts w:ascii="Times New Roman" w:hAnsi="Times New Roman"/>
          <w:b/>
          <w:bCs/>
          <w:i/>
          <w:iCs/>
        </w:rPr>
        <w:t xml:space="preserve">Italia primo fornitore della Turchia nel comparto della meccanica agricola. Scambi in crescita anche nel triennio 2027-2029. EIMA International una piattaforma per il consolidamento delle relazioni commerciali e della cooperazione italo-turca. </w:t>
      </w:r>
      <w:r w:rsidR="00305087">
        <w:rPr>
          <w:rFonts w:ascii="Times New Roman" w:hAnsi="Times New Roman"/>
          <w:b/>
          <w:bCs/>
          <w:i/>
          <w:iCs/>
        </w:rPr>
        <w:t xml:space="preserve">Previsti </w:t>
      </w:r>
      <w:r>
        <w:rPr>
          <w:rFonts w:ascii="Times New Roman" w:hAnsi="Times New Roman"/>
          <w:b/>
          <w:bCs/>
          <w:i/>
          <w:iCs/>
        </w:rPr>
        <w:t>2.300 visitatori dalla Turchia. A Bologna una delegazione ufficiale di operatori turchi; l</w:t>
      </w:r>
      <w:r>
        <w:rPr>
          <w:rFonts w:ascii="Times New Roman" w:hAnsi="Times New Roman"/>
          <w:b/>
          <w:bCs/>
          <w:i/>
          <w:iCs/>
          <w:rtl/>
        </w:rPr>
        <w:t>’</w:t>
      </w:r>
      <w:r w:rsidR="00305087">
        <w:rPr>
          <w:rFonts w:ascii="Times New Roman" w:hAnsi="Times New Roman" w:hint="cs"/>
          <w:b/>
          <w:bCs/>
          <w:i/>
          <w:iCs/>
          <w:rtl/>
        </w:rPr>
        <w:t>i</w:t>
      </w:r>
      <w:proofErr w:type="spellStart"/>
      <w:r>
        <w:rPr>
          <w:rFonts w:ascii="Times New Roman" w:hAnsi="Times New Roman"/>
          <w:b/>
          <w:bCs/>
          <w:i/>
          <w:iCs/>
        </w:rPr>
        <w:t>ncoming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organizzato </w:t>
      </w:r>
      <w:proofErr w:type="spellStart"/>
      <w:r>
        <w:rPr>
          <w:rFonts w:ascii="Times New Roman" w:hAnsi="Times New Roman"/>
          <w:b/>
          <w:bCs/>
          <w:i/>
          <w:iCs/>
        </w:rPr>
        <w:t>dall</w:t>
      </w:r>
      <w:proofErr w:type="spellEnd"/>
      <w:r>
        <w:rPr>
          <w:rFonts w:ascii="Times New Roman" w:hAnsi="Times New Roman"/>
          <w:b/>
          <w:bCs/>
          <w:i/>
          <w:iCs/>
          <w:rtl/>
        </w:rPr>
        <w:t>’</w:t>
      </w:r>
      <w:r>
        <w:rPr>
          <w:rFonts w:ascii="Times New Roman" w:hAnsi="Times New Roman"/>
          <w:b/>
          <w:bCs/>
          <w:i/>
          <w:iCs/>
        </w:rPr>
        <w:t>Agenzia ICE</w:t>
      </w:r>
      <w:r>
        <w:rPr>
          <w:rFonts w:ascii="Times New Roman" w:hAnsi="Times New Roman"/>
          <w:i/>
          <w:iCs/>
        </w:rPr>
        <w:t>.</w:t>
      </w:r>
    </w:p>
    <w:p w14:paraId="5176543F" w14:textId="77777777" w:rsidR="00601188" w:rsidRDefault="0060118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60"/>
        <w:jc w:val="both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14:paraId="438ADB17" w14:textId="77777777" w:rsidR="00601188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Con un interscambio totale che nel 2025 ha sfiorato i 500 milioni di euro la Turchia si conferma come uno dei principali partner commerciali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Italia nel settore della meccanica agricola. Nei passati dodici mesi le importazioni italiane di macchinario agricolo dalla Turchia sono infatti cresciute del 19% superando i 210 milioni di euro, mentre le esportazioni, pari a circa 230 milioni di euro, pur in calo del 20% rispetto all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anno precedente, si sono comunque mantenute su valori assai superiori a quelli degli anni pre-pandemia. I dati relativi agli scambi di settore tra i due Paesi sono stati diffusi questo pomeriggio a Konya (Turchia) nel corso della conferenza stampa di presentazione della 47ma edizione di EIMA International, la rassegna mondiale della meccanica agricola organizzata da FederUnacoma a Bologna dal 10 al 1</w:t>
      </w:r>
      <w:r w:rsidR="0030508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novembre prossimo.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andamento delle esportazioni italiane di macchine agricole è stato condizionato dalle dinamiche del mercato interno della Turchia, che lo scorso anno ha registrato una significativa contrazione delle vendite. La flessione, che nel settore delle trattrici è stata pari al 36% in ragione di 40.500 unità, è dovuta non soltanto a fattori quali le pressioni inflative o la difficoltà di accesso al credito agricolo, ma – ha spiegato Davide Gallarate,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Ufficio Eventi di FederUnacoma – anche all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instabilità e al clima di incertezza dello scenario economico globale”. Tuttavia,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attuale congiuntura non ha indebolito le relazioni commerciali e la cooperazione tecnica italo-turca. Con una quota del 18,2%, nel 2025 i costruttori italiani si sono infatti confermati i principali fornitori di macchine agricole della Turchia, mentre i costruttori turchi hanno visto crescere il loro giro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affari con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Italia sino a superare i 210 milioni di euro. La partnership tra i due Paesi potrebbe consolidarsi nel medio termine, se venissero confermate le proiezioni della società di ricerche </w:t>
      </w:r>
      <w:proofErr w:type="spellStart"/>
      <w:r>
        <w:rPr>
          <w:rFonts w:ascii="Times New Roman" w:hAnsi="Times New Roman"/>
        </w:rPr>
        <w:t>Exportplanning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per  la</w:t>
      </w:r>
      <w:proofErr w:type="gramEnd"/>
      <w:r>
        <w:rPr>
          <w:rFonts w:ascii="Times New Roman" w:hAnsi="Times New Roman"/>
        </w:rPr>
        <w:t xml:space="preserve"> Turchia, le quali ad oggi indicano una ripresa delle importazioni di macchine agricole dai principali fornitori </w:t>
      </w:r>
      <w:proofErr w:type="spellStart"/>
      <w:r>
        <w:rPr>
          <w:rFonts w:ascii="Times New Roman" w:hAnsi="Times New Roman"/>
        </w:rPr>
        <w:t>globali.Secondo</w:t>
      </w:r>
      <w:proofErr w:type="spellEnd"/>
      <w:r>
        <w:rPr>
          <w:rFonts w:ascii="Times New Roman" w:hAnsi="Times New Roman"/>
        </w:rPr>
        <w:t xml:space="preserve"> tali stime - dopo la frenata attesa per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anno in corso (-5,6%) -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import complessivo dovrebbe tornare a crescere nel triennio 2027-2029 con un tasso medio del 2,3%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anno. </w:t>
      </w:r>
    </w:p>
    <w:p w14:paraId="3E32B20D" w14:textId="77777777" w:rsidR="00FE1941" w:rsidRDefault="00000000" w:rsidP="00FE194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questa prospettiva, una rassegna dal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  <w:lang w:val="pt-PT"/>
        </w:rPr>
        <w:t>respiro globale</w:t>
      </w:r>
      <w:r>
        <w:rPr>
          <w:rFonts w:ascii="Times New Roman" w:hAnsi="Times New Roman"/>
        </w:rPr>
        <w:t xml:space="preserve">” </w:t>
      </w:r>
      <w:r w:rsidRPr="000E775C">
        <w:rPr>
          <w:rFonts w:ascii="Times New Roman" w:hAnsi="Times New Roman"/>
        </w:rPr>
        <w:t>come EIMA International, pu</w:t>
      </w:r>
      <w:r>
        <w:rPr>
          <w:rFonts w:ascii="Times New Roman" w:hAnsi="Times New Roman"/>
        </w:rPr>
        <w:t xml:space="preserve">ò contribuire a dare ulteriore slancio alla partnership tra i due Paesi.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esposizione bolognese si articola in 14 settori di specializzazione merceologica, e mette in mostra più di 60 mila modelli di macchine, attrezzature e componenti per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agricoltura e il giardinaggio. Con la sua ampiezza di gamma - ha sottolineato in conferenza stampa Davide Gallarate - EIMA International è in grado di </w:t>
      </w:r>
    </w:p>
    <w:p w14:paraId="2F872C14" w14:textId="77777777" w:rsidR="00FE1941" w:rsidRDefault="00FE1941" w:rsidP="00FE194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27"/>
        <w:jc w:val="both"/>
        <w:rPr>
          <w:rFonts w:ascii="Times New Roman" w:hAnsi="Times New Roman"/>
        </w:rPr>
      </w:pPr>
    </w:p>
    <w:p w14:paraId="368FED8E" w14:textId="77777777" w:rsidR="00FE1941" w:rsidRDefault="00FE1941" w:rsidP="00FE194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27"/>
        <w:jc w:val="both"/>
        <w:rPr>
          <w:rFonts w:ascii="Times New Roman" w:hAnsi="Times New Roman"/>
        </w:rPr>
      </w:pPr>
    </w:p>
    <w:p w14:paraId="73ED330F" w14:textId="77777777" w:rsidR="00FE1941" w:rsidRDefault="00FE1941" w:rsidP="00FE194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27"/>
        <w:jc w:val="both"/>
        <w:rPr>
          <w:rFonts w:ascii="Times New Roman" w:hAnsi="Times New Roman"/>
        </w:rPr>
      </w:pPr>
    </w:p>
    <w:p w14:paraId="07BEBA70" w14:textId="4A993E05" w:rsidR="00601188" w:rsidRPr="00FE1941" w:rsidRDefault="00000000" w:rsidP="00FE194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soddisfare il fabbisogno tecnologico di ogni economia agricola, in special modo della Turchia, e di ogni attività imprenditoriale, dalla piccola azienda familiare alla grande impresa industriale”. La grande attenzione </w:t>
      </w:r>
      <w:proofErr w:type="spellStart"/>
      <w:r>
        <w:rPr>
          <w:rFonts w:ascii="Times New Roman" w:hAnsi="Times New Roman"/>
        </w:rPr>
        <w:t>all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innovazione tecnologica, che da sempre caratterizza la kermesse bolognese, è un altro fattore vincente della </w:t>
      </w:r>
      <w:r>
        <w:rPr>
          <w:rFonts w:ascii="Times New Roman" w:hAnsi="Times New Roman"/>
          <w:rtl/>
        </w:rPr>
        <w:t>‘</w:t>
      </w:r>
      <w:proofErr w:type="spellStart"/>
      <w:r>
        <w:rPr>
          <w:rFonts w:ascii="Times New Roman" w:hAnsi="Times New Roman"/>
          <w:lang w:val="de-DE"/>
        </w:rPr>
        <w:t>formula</w:t>
      </w:r>
      <w:proofErr w:type="spellEnd"/>
      <w:r>
        <w:rPr>
          <w:rFonts w:ascii="Times New Roman" w:hAnsi="Times New Roman"/>
          <w:lang w:val="de-DE"/>
        </w:rPr>
        <w:t xml:space="preserve"> EIMA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; un elemento di particolare interesse non solo per le case costruttrici di tutto il mondo, ma per la vasta platea di visitatori italiani ed esteri della manifestazione. Sotto questo profilo – è stato rimarcato in conferenza stampa – la prossima edizione della rassegna dovrebbe confermare e probabilmente migliorare i numeri record della precedente, che ha visto la partecipazione di circa 1.750 industrie espositrici, delle quali 675 estere, e registrato circa 350 mila presenze, 63 mila delle quali </w:t>
      </w:r>
      <w:proofErr w:type="spellStart"/>
      <w:r>
        <w:rPr>
          <w:rFonts w:ascii="Times New Roman" w:hAnsi="Times New Roman"/>
        </w:rPr>
        <w:t>dall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estero.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 xml:space="preserve">La Turchia – ha ricordato Davide Gallarate – è stata uno dei Paesi maggiormente rappresentati con 94 espositori, vale a dire il 14% degli esteri, e con oltre 2.300 presenze. Per EIMA 2026 ci aspettiamo dati in linea con questi”. Peraltro a Bologna è attesa anche una delegazione ufficiale di operatori economici dalla Turchia il cui incoming è in via di organizzazione a cura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Agenzia ICE, partner strategico dei costruttori italiani per le attività di internazionalizzazione. </w:t>
      </w:r>
    </w:p>
    <w:p w14:paraId="3B030EC3" w14:textId="77777777" w:rsidR="00601188" w:rsidRDefault="00000000" w:rsidP="0030508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Diverse le novità previste dagli organizzatori per la kermesse di novembre, a partire da un incremento nel numero dei saloni tematici.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 xml:space="preserve">Ai tradizionali Saloni di EIMA </w:t>
      </w:r>
      <w:r>
        <w:rPr>
          <w:rFonts w:ascii="Times New Roman" w:hAnsi="Times New Roman"/>
          <w:rtl/>
        </w:rPr>
        <w:t>‘</w:t>
      </w:r>
      <w:r>
        <w:rPr>
          <w:rFonts w:ascii="Times New Roman" w:hAnsi="Times New Roman"/>
        </w:rPr>
        <w:t>Energy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rtl/>
        </w:rPr>
        <w:t>‘</w:t>
      </w:r>
      <w:r>
        <w:rPr>
          <w:rFonts w:ascii="Times New Roman" w:hAnsi="Times New Roman"/>
          <w:lang w:val="pt-PT"/>
        </w:rPr>
        <w:t>Componenti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rtl/>
        </w:rPr>
        <w:t>‘</w:t>
      </w:r>
      <w:proofErr w:type="spellStart"/>
      <w:r>
        <w:rPr>
          <w:rFonts w:ascii="Times New Roman" w:hAnsi="Times New Roman"/>
        </w:rPr>
        <w:t>Idrotech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rtl/>
        </w:rPr>
        <w:t>‘</w:t>
      </w:r>
      <w:r>
        <w:rPr>
          <w:rFonts w:ascii="Times New Roman" w:hAnsi="Times New Roman"/>
        </w:rPr>
        <w:t>Digital</w:t>
      </w:r>
      <w:r>
        <w:rPr>
          <w:rFonts w:ascii="Times New Roman" w:hAnsi="Times New Roman"/>
          <w:rtl/>
        </w:rPr>
        <w:t xml:space="preserve">’ 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rtl/>
        </w:rPr>
        <w:t>‘</w:t>
      </w:r>
      <w:r>
        <w:rPr>
          <w:rFonts w:ascii="Times New Roman" w:hAnsi="Times New Roman"/>
          <w:lang w:val="nl-NL"/>
        </w:rPr>
        <w:t>Green</w:t>
      </w:r>
      <w:r>
        <w:rPr>
          <w:rFonts w:ascii="Times New Roman" w:hAnsi="Times New Roman"/>
          <w:rtl/>
        </w:rPr>
        <w:t xml:space="preserve">’ </w:t>
      </w:r>
      <w:r>
        <w:rPr>
          <w:rFonts w:ascii="Times New Roman" w:hAnsi="Times New Roman"/>
        </w:rPr>
        <w:t xml:space="preserve">si aggiungono infatti i nuovi EIMA </w:t>
      </w:r>
      <w:r>
        <w:rPr>
          <w:rFonts w:ascii="Times New Roman" w:hAnsi="Times New Roman"/>
          <w:rtl/>
        </w:rPr>
        <w:t>‘</w:t>
      </w:r>
      <w:proofErr w:type="spellStart"/>
      <w:r>
        <w:rPr>
          <w:rFonts w:ascii="Times New Roman" w:hAnsi="Times New Roman"/>
        </w:rPr>
        <w:t>Extend</w:t>
      </w:r>
      <w:proofErr w:type="spellEnd"/>
      <w:r>
        <w:rPr>
          <w:rFonts w:ascii="Times New Roman" w:hAnsi="Times New Roman"/>
          <w:rtl/>
        </w:rPr>
        <w:t xml:space="preserve">’ </w:t>
      </w:r>
      <w:r w:rsidRPr="000E775C">
        <w:rPr>
          <w:rFonts w:ascii="Times New Roman" w:hAnsi="Times New Roman"/>
        </w:rPr>
        <w:t xml:space="preserve">ed EIMA </w:t>
      </w:r>
      <w:r>
        <w:rPr>
          <w:rFonts w:ascii="Times New Roman" w:hAnsi="Times New Roman"/>
          <w:rtl/>
        </w:rPr>
        <w:t>‘</w:t>
      </w:r>
      <w:r>
        <w:rPr>
          <w:rFonts w:ascii="Times New Roman" w:hAnsi="Times New Roman"/>
        </w:rPr>
        <w:t>Campus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, dedicati rispettivamente agli enti che rappresentano la filiera agricola e </w:t>
      </w:r>
      <w:proofErr w:type="spellStart"/>
      <w:r>
        <w:rPr>
          <w:rFonts w:ascii="Times New Roman" w:hAnsi="Times New Roman"/>
        </w:rPr>
        <w:t>agromeccanica</w:t>
      </w:r>
      <w:proofErr w:type="spellEnd"/>
      <w:r>
        <w:rPr>
          <w:rFonts w:ascii="Times New Roman" w:hAnsi="Times New Roman"/>
        </w:rPr>
        <w:t xml:space="preserve"> globale e al mondo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università, della ricerca e della formazione.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idea di ampliare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offerta dei Saloni – ha affermato Davide Gallarate – è stata concepita per dare risalto a due elementi della filiera, quello della governance e quello della formazione, sempre più centrali nella programmazione delle politiche di settore”. Da segnalare poi, tra le altre novità,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apertura del Padiglione 35, in via di realizzazione secondo gli standard più elevati dal punto di vista architettonico e funzionale, e la riprogettazione degli spazi esterni dove si svolgono le prove dinamiche nelle aree di EIMA Energy, Tractor of the </w:t>
      </w:r>
      <w:proofErr w:type="spellStart"/>
      <w:r>
        <w:rPr>
          <w:rFonts w:ascii="Times New Roman" w:hAnsi="Times New Roman"/>
        </w:rPr>
        <w:t>Year</w:t>
      </w:r>
      <w:proofErr w:type="spellEnd"/>
      <w:r>
        <w:rPr>
          <w:rFonts w:ascii="Times New Roman" w:hAnsi="Times New Roman"/>
        </w:rPr>
        <w:t>, Garden E-</w:t>
      </w:r>
      <w:proofErr w:type="spellStart"/>
      <w:r>
        <w:rPr>
          <w:rFonts w:ascii="Times New Roman" w:hAnsi="Times New Roman"/>
        </w:rPr>
        <w:t>motion</w:t>
      </w:r>
      <w:proofErr w:type="spellEnd"/>
      <w:r>
        <w:rPr>
          <w:rFonts w:ascii="Times New Roman" w:hAnsi="Times New Roman"/>
        </w:rPr>
        <w:t>, Contoterzista Driver Trophy, oltre che di REAL,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arena dedicata a robot e macchine ad alta automazione. Inedita è anche la prima edizione del concorso ADI Design </w:t>
      </w:r>
      <w:proofErr w:type="spellStart"/>
      <w:r>
        <w:rPr>
          <w:rFonts w:ascii="Times New Roman" w:hAnsi="Times New Roman"/>
        </w:rPr>
        <w:t>Exhibit</w:t>
      </w:r>
      <w:proofErr w:type="spellEnd"/>
      <w:r>
        <w:rPr>
          <w:rFonts w:ascii="Times New Roman" w:hAnsi="Times New Roman"/>
        </w:rPr>
        <w:t xml:space="preserve"> Award - EIMA International, un contest aperto a tutti gli espositori promosso </w:t>
      </w:r>
      <w:proofErr w:type="spellStart"/>
      <w:r>
        <w:rPr>
          <w:rFonts w:ascii="Times New Roman" w:hAnsi="Times New Roman"/>
        </w:rPr>
        <w:t>dall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Associazione Italiana Disegno Industriale ADI in collaborazione con FederUnacoma per premiare i migliori allestimenti espositivi. </w:t>
      </w:r>
      <w:r w:rsidR="003050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Ai temi politici ed economici è dedicato un programma di circa 150 eventi, fra convegni, seminari, workshop, che si svolgeranno nella cornice di EIMA e che faranno il punto sui trend </w:t>
      </w:r>
      <w:proofErr w:type="spellStart"/>
      <w:r>
        <w:rPr>
          <w:rFonts w:ascii="Times New Roman" w:hAnsi="Times New Roman"/>
        </w:rPr>
        <w:t>dell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economia primaria globale e sulle strategie di promozione della meccanizzazione nei diversi contesti agricoli pianeta.</w:t>
      </w:r>
    </w:p>
    <w:p w14:paraId="7F5A31E4" w14:textId="77777777" w:rsidR="00305087" w:rsidRPr="00305087" w:rsidRDefault="00305087" w:rsidP="0030508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left="21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238FCFA" w14:textId="77777777" w:rsidR="00601188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Konya, 8 aprile 2026</w:t>
      </w:r>
    </w:p>
    <w:sectPr w:rsidR="00601188">
      <w:headerReference w:type="default" r:id="rId6"/>
      <w:footerReference w:type="default" r:id="rId7"/>
      <w:pgSz w:w="11900" w:h="16840"/>
      <w:pgMar w:top="1418" w:right="1134" w:bottom="142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1614" w14:textId="77777777" w:rsidR="005909E7" w:rsidRDefault="005909E7">
      <w:pPr>
        <w:spacing w:after="0" w:line="240" w:lineRule="auto"/>
      </w:pPr>
      <w:r>
        <w:separator/>
      </w:r>
    </w:p>
  </w:endnote>
  <w:endnote w:type="continuationSeparator" w:id="0">
    <w:p w14:paraId="51133FFB" w14:textId="77777777" w:rsidR="005909E7" w:rsidRDefault="0059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06E7" w14:textId="77777777" w:rsidR="00601188" w:rsidRDefault="00000000">
    <w:pPr>
      <w:pStyle w:val="Pidipagina"/>
      <w:tabs>
        <w:tab w:val="clear" w:pos="9638"/>
        <w:tab w:val="right" w:pos="8903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E775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AB8D" w14:textId="77777777" w:rsidR="005909E7" w:rsidRDefault="005909E7">
      <w:pPr>
        <w:spacing w:after="0" w:line="240" w:lineRule="auto"/>
      </w:pPr>
      <w:r>
        <w:separator/>
      </w:r>
    </w:p>
  </w:footnote>
  <w:footnote w:type="continuationSeparator" w:id="0">
    <w:p w14:paraId="236ED5EB" w14:textId="77777777" w:rsidR="005909E7" w:rsidRDefault="0059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1CD0" w14:textId="77777777" w:rsidR="00601188" w:rsidRDefault="00000000">
    <w:pPr>
      <w:pStyle w:val="Intestazione"/>
      <w:tabs>
        <w:tab w:val="clear" w:pos="9638"/>
        <w:tab w:val="right" w:pos="8903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0FCFD99" wp14:editId="0499862A">
          <wp:simplePos x="0" y="0"/>
          <wp:positionH relativeFrom="page">
            <wp:posOffset>493259</wp:posOffset>
          </wp:positionH>
          <wp:positionV relativeFrom="page">
            <wp:posOffset>41945</wp:posOffset>
          </wp:positionV>
          <wp:extent cx="7531023" cy="10660468"/>
          <wp:effectExtent l="0" t="0" r="0" b="0"/>
          <wp:wrapNone/>
          <wp:docPr id="1073741825" name="officeArt object" descr="Immagine 1966450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96645075" descr="Immagine 19664507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023" cy="106604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88"/>
    <w:rsid w:val="000E775C"/>
    <w:rsid w:val="00305087"/>
    <w:rsid w:val="005909E7"/>
    <w:rsid w:val="005F2826"/>
    <w:rsid w:val="00601188"/>
    <w:rsid w:val="007A054E"/>
    <w:rsid w:val="00DA1EE6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8ED6"/>
  <w15:docId w15:val="{32AE1E56-CE3E-AB42-92A0-D01599F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Menicucci</cp:lastModifiedBy>
  <cp:revision>3</cp:revision>
  <dcterms:created xsi:type="dcterms:W3CDTF">2026-04-06T09:36:00Z</dcterms:created>
  <dcterms:modified xsi:type="dcterms:W3CDTF">2026-04-07T06:35:00Z</dcterms:modified>
</cp:coreProperties>
</file>